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AB" w:rsidRDefault="00320EAB" w:rsidP="00F57E7C">
      <w:p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AB" w:rsidRPr="006B0E4B" w:rsidRDefault="00320EAB" w:rsidP="004A5AE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Valiliğinde 657 sayılı Kanun çerçevesinde görev yapan sendika üyesi personelin 4688 sayılı Kamu Görevlileri Sendikaları Kanununa göre işlemlerini yürütmek.</w:t>
      </w:r>
    </w:p>
    <w:p w:rsidR="00320EAB" w:rsidRPr="006B0E4B" w:rsidRDefault="00320EAB" w:rsidP="00F57E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320EAB" w:rsidRPr="006B0E4B" w:rsidRDefault="00320EAB" w:rsidP="00F5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B0E4B">
        <w:rPr>
          <w:rFonts w:ascii="Times New Roman" w:hAnsi="Times New Roman" w:cs="Times New Roman"/>
          <w:sz w:val="24"/>
          <w:szCs w:val="24"/>
        </w:rPr>
        <w:t>Harcama Yetkilisi</w:t>
      </w:r>
    </w:p>
    <w:p w:rsidR="00320EAB" w:rsidRPr="006B0E4B" w:rsidRDefault="00320EAB" w:rsidP="00F5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B0E4B">
        <w:rPr>
          <w:rFonts w:ascii="Times New Roman" w:hAnsi="Times New Roman" w:cs="Times New Roman"/>
          <w:sz w:val="24"/>
          <w:szCs w:val="24"/>
        </w:rPr>
        <w:t>Gerçekleştirme Görevlisi</w:t>
      </w:r>
    </w:p>
    <w:p w:rsidR="00320EAB" w:rsidRPr="006B0E4B" w:rsidRDefault="00320EAB" w:rsidP="00F5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Büro Personeli</w:t>
      </w:r>
    </w:p>
    <w:p w:rsidR="00320EAB" w:rsidRDefault="00320EAB" w:rsidP="00F57E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320EAB" w:rsidRDefault="00320EAB" w:rsidP="008D7A9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Sendika üyeliğine giriş;</w:t>
      </w:r>
    </w:p>
    <w:p w:rsidR="00320EAB" w:rsidRPr="00315AB5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bünyesinde 657 sayılı Kanun kapsamında görev yapan personele ilişkin ilgili sendika tarafından sendika üyelik formu üç nüsha düzenlenip, Valilik Makamına sunulur.</w:t>
      </w:r>
    </w:p>
    <w:p w:rsidR="00320EAB" w:rsidRPr="00315AB5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Sendikaya üye olan personelin üyelik girişi </w:t>
      </w:r>
      <w:r w:rsidR="00345D3E">
        <w:rPr>
          <w:rFonts w:ascii="Times New Roman" w:hAnsi="Times New Roman" w:cs="Times New Roman"/>
          <w:sz w:val="24"/>
          <w:szCs w:val="24"/>
        </w:rPr>
        <w:t>KBS maaş</w:t>
      </w:r>
      <w:r>
        <w:rPr>
          <w:rFonts w:ascii="Times New Roman" w:hAnsi="Times New Roman" w:cs="Times New Roman"/>
          <w:sz w:val="24"/>
          <w:szCs w:val="24"/>
        </w:rPr>
        <w:t xml:space="preserve"> programına takip eden aybaşında Muhasebe Yetkilisi Mutemedi tarafından işlenir.</w:t>
      </w:r>
    </w:p>
    <w:p w:rsidR="00320EAB" w:rsidRPr="002D0B1F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Sendikalı personele ilişkin Sendika Aidatı Tevkifat Listeleri her ayın onbeşinden sonra ilgili sendikalara posta ile gönderilir.</w:t>
      </w:r>
    </w:p>
    <w:p w:rsidR="00320EAB" w:rsidRDefault="00320EAB" w:rsidP="004A5AEB">
      <w:pPr>
        <w:ind w:left="7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Sendika üyeliğinden çıkış;</w:t>
      </w:r>
    </w:p>
    <w:p w:rsidR="00320EAB" w:rsidRPr="007A7C59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bünyesinde 657 sayılı Kanun kapsamında görev yapan personele ilişkin sendika üyeliğinden çekilme formu ilgili tarafından üç nüsha düzenlenip dilekçe ekinde Valilik Makamına sunulur.</w:t>
      </w:r>
    </w:p>
    <w:p w:rsidR="00320EAB" w:rsidRPr="00794C68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Sendika ü</w:t>
      </w:r>
      <w:r w:rsidRPr="007A7C59">
        <w:rPr>
          <w:rFonts w:ascii="Times New Roman" w:hAnsi="Times New Roman" w:cs="Times New Roman"/>
          <w:sz w:val="24"/>
          <w:szCs w:val="24"/>
        </w:rPr>
        <w:t>yeliğinden ayrılan personel</w:t>
      </w:r>
      <w:r>
        <w:rPr>
          <w:rFonts w:ascii="Times New Roman" w:hAnsi="Times New Roman" w:cs="Times New Roman"/>
          <w:sz w:val="24"/>
          <w:szCs w:val="24"/>
        </w:rPr>
        <w:t xml:space="preserve"> üst yazı ile İl Defterdarlığı Muhasebe Müdürlüğüne bildirilerek,</w:t>
      </w:r>
      <w:r w:rsidRPr="007A7C59">
        <w:rPr>
          <w:rFonts w:ascii="Times New Roman" w:hAnsi="Times New Roman" w:cs="Times New Roman"/>
          <w:sz w:val="24"/>
          <w:szCs w:val="24"/>
        </w:rPr>
        <w:t xml:space="preserve"> Muhasebe Yetkilisi Mutemedi,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345D3E">
        <w:rPr>
          <w:rFonts w:ascii="Times New Roman" w:hAnsi="Times New Roman" w:cs="Times New Roman"/>
          <w:sz w:val="24"/>
          <w:szCs w:val="24"/>
        </w:rPr>
        <w:t xml:space="preserve">KBS maaş </w:t>
      </w:r>
      <w:r>
        <w:rPr>
          <w:rFonts w:ascii="Times New Roman" w:hAnsi="Times New Roman" w:cs="Times New Roman"/>
          <w:sz w:val="24"/>
          <w:szCs w:val="24"/>
        </w:rPr>
        <w:t>programına takip eden aybaşında işlenir.</w:t>
      </w:r>
    </w:p>
    <w:p w:rsidR="00320EAB" w:rsidRPr="00E94F84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Üyelikten Çekilme Bildirimi ve dilekçenin bir nüshası ilgili sendikaya posta ile gönderilir.</w:t>
      </w:r>
    </w:p>
    <w:p w:rsidR="00320EAB" w:rsidRPr="00E94F84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Dokümanların birer sureti dosyasında muhafaza edilir.</w:t>
      </w:r>
    </w:p>
    <w:p w:rsidR="002B78E9" w:rsidRDefault="002B78E9" w:rsidP="008D7A97">
      <w:pPr>
        <w:ind w:firstLine="351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AB" w:rsidRDefault="00320EAB" w:rsidP="002B78E9">
      <w:pPr>
        <w:spacing w:after="0" w:line="240" w:lineRule="auto"/>
        <w:ind w:firstLine="3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Sendika üye sayılarının tespitine ilişkin işlemler;</w:t>
      </w:r>
    </w:p>
    <w:p w:rsidR="00320EAB" w:rsidRPr="00CF7D89" w:rsidRDefault="00320EAB" w:rsidP="002B78E9">
      <w:pPr>
        <w:pStyle w:val="ListeParagraf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F7D89">
        <w:rPr>
          <w:rFonts w:ascii="Times New Roman" w:hAnsi="Times New Roman" w:cs="Times New Roman"/>
          <w:sz w:val="24"/>
          <w:szCs w:val="24"/>
        </w:rPr>
        <w:t xml:space="preserve">4688 sayılı Kamu </w:t>
      </w:r>
      <w:r>
        <w:rPr>
          <w:rFonts w:ascii="Times New Roman" w:hAnsi="Times New Roman" w:cs="Times New Roman"/>
          <w:sz w:val="24"/>
          <w:szCs w:val="24"/>
        </w:rPr>
        <w:t>Görevlileri Sendikaları Kanunu</w:t>
      </w:r>
      <w:r w:rsidRPr="00CF7D89">
        <w:rPr>
          <w:rFonts w:ascii="Times New Roman" w:hAnsi="Times New Roman" w:cs="Times New Roman"/>
          <w:sz w:val="24"/>
          <w:szCs w:val="24"/>
        </w:rPr>
        <w:t xml:space="preserve"> ile Çalışma ve Sosyal Güvenlik Bakanlığının 09/04/2004 tarih ve 25517 sa</w:t>
      </w:r>
      <w:r>
        <w:rPr>
          <w:rFonts w:ascii="Times New Roman" w:hAnsi="Times New Roman" w:cs="Times New Roman"/>
          <w:sz w:val="24"/>
          <w:szCs w:val="24"/>
        </w:rPr>
        <w:t>yılı Resmi Gazetede yayımlanan,4688</w:t>
      </w:r>
      <w:r w:rsidRPr="00CF7D89">
        <w:rPr>
          <w:rFonts w:ascii="Times New Roman" w:hAnsi="Times New Roman" w:cs="Times New Roman"/>
          <w:sz w:val="24"/>
          <w:szCs w:val="24"/>
        </w:rPr>
        <w:t xml:space="preserve"> sayılı Kamu Görevlileri Sendikaları Kanununa Göre Sendika Üye Sayılarının ve Her Hizmet Kolunda Yetkili Kamu Görevlileri Sendikaları ve Bunların Bağlı Bulundukları Konfed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7D89">
        <w:rPr>
          <w:rFonts w:ascii="Times New Roman" w:hAnsi="Times New Roman" w:cs="Times New Roman"/>
          <w:sz w:val="24"/>
          <w:szCs w:val="24"/>
        </w:rPr>
        <w:t xml:space="preserve">rasyonların Belirlenmesine İlişkin Tebliğ hükümleri dikkate alınarak, kurumlarca yapılacak işlemlerle ilgili İçişleri Bakanlığı Personel </w:t>
      </w:r>
      <w:r>
        <w:rPr>
          <w:rFonts w:ascii="Times New Roman" w:hAnsi="Times New Roman" w:cs="Times New Roman"/>
          <w:sz w:val="24"/>
          <w:szCs w:val="24"/>
        </w:rPr>
        <w:t>Genel Müdürlüğünce Mersin Valiliğine her yılın Mayıs ayının ilk haftasında yazı gönderilir.</w:t>
      </w:r>
    </w:p>
    <w:p w:rsidR="00320EAB" w:rsidRPr="00A84AA3" w:rsidRDefault="00320EAB" w:rsidP="00D0646F">
      <w:pPr>
        <w:pStyle w:val="ListeParagraf"/>
        <w:numPr>
          <w:ilvl w:val="0"/>
          <w:numId w:val="15"/>
        </w:numPr>
        <w:spacing w:before="0"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yazıya istinaden yapılacak işlemlere ilişkin Kaymakamlıklara ve Valilik birim müdürlüklerine üst yazı ile bilgi verilerek, k</w:t>
      </w:r>
      <w:r w:rsidRPr="00A84AA3">
        <w:rPr>
          <w:rFonts w:ascii="Times New Roman" w:hAnsi="Times New Roman" w:cs="Times New Roman"/>
          <w:sz w:val="24"/>
          <w:szCs w:val="24"/>
        </w:rPr>
        <w:t>urumlarca düzenlenecek toplantı tutanaklarının Valilikçe belirlenen günde gönderilmesi istenir.</w:t>
      </w:r>
    </w:p>
    <w:p w:rsidR="00320EAB" w:rsidRPr="00205DE7" w:rsidRDefault="00320EAB" w:rsidP="00D0646F">
      <w:pPr>
        <w:pStyle w:val="ListeParagraf"/>
        <w:numPr>
          <w:ilvl w:val="0"/>
          <w:numId w:val="15"/>
        </w:numPr>
        <w:spacing w:before="0"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Valilik birimleri ve Kaymakamlıklardan gönderilen toplantı tutanakları Valilikçe birleştirilerek Birleştirme Tutanağı düzenlenip, Kurum İşveren Temsilcileri ve ilgili sendika temsilcileri tarafından imzalanır.</w:t>
      </w:r>
    </w:p>
    <w:p w:rsidR="00320EAB" w:rsidRPr="00205DE7" w:rsidRDefault="00320EAB" w:rsidP="00D0646F">
      <w:pPr>
        <w:pStyle w:val="ListeParagraf"/>
        <w:numPr>
          <w:ilvl w:val="0"/>
          <w:numId w:val="15"/>
        </w:numPr>
        <w:spacing w:before="0"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Birleştirme Tutanağı üst yazı ile İçişleri Bakanlığı Personel Genel Müdürlüğüne ve ilgili sendikalara gönderilir.</w:t>
      </w:r>
    </w:p>
    <w:p w:rsidR="00320EAB" w:rsidRPr="000D6F24" w:rsidRDefault="00320EAB" w:rsidP="00D0646F">
      <w:pPr>
        <w:pStyle w:val="ListeParagraf"/>
        <w:numPr>
          <w:ilvl w:val="0"/>
          <w:numId w:val="15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DE7">
        <w:rPr>
          <w:rFonts w:ascii="Times New Roman" w:hAnsi="Times New Roman" w:cs="Times New Roman"/>
          <w:sz w:val="24"/>
          <w:szCs w:val="24"/>
        </w:rPr>
        <w:t>Dokümanların bir nüsh</w:t>
      </w:r>
      <w:r>
        <w:rPr>
          <w:rFonts w:ascii="Times New Roman" w:hAnsi="Times New Roman" w:cs="Times New Roman"/>
          <w:sz w:val="24"/>
          <w:szCs w:val="24"/>
        </w:rPr>
        <w:t>ası dosyasında muhafaza edilir</w:t>
      </w:r>
    </w:p>
    <w:p w:rsidR="00320EAB" w:rsidRDefault="00320EAB" w:rsidP="00D0646F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320EAB" w:rsidRPr="00377E26" w:rsidRDefault="00320EAB" w:rsidP="002B78E9">
      <w:pPr>
        <w:pStyle w:val="ListeParagraf"/>
        <w:numPr>
          <w:ilvl w:val="0"/>
          <w:numId w:val="13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D7120">
        <w:rPr>
          <w:rFonts w:ascii="Times New Roman" w:hAnsi="Times New Roman" w:cs="Times New Roman"/>
          <w:sz w:val="24"/>
          <w:szCs w:val="24"/>
        </w:rPr>
        <w:t>4688 Sayılı Kamu Görevlileri Sendikaları Kanunu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120">
        <w:rPr>
          <w:rFonts w:ascii="Times New Roman" w:hAnsi="Times New Roman" w:cs="Times New Roman"/>
          <w:sz w:val="24"/>
          <w:szCs w:val="24"/>
        </w:rPr>
        <w:t xml:space="preserve">5198 Sayılı Kamu Görevlileri Sendikaları </w:t>
      </w:r>
      <w:r w:rsidRPr="00377E26">
        <w:rPr>
          <w:rFonts w:ascii="Times New Roman" w:hAnsi="Times New Roman" w:cs="Times New Roman"/>
          <w:sz w:val="24"/>
          <w:szCs w:val="24"/>
        </w:rPr>
        <w:t>Kanununda Değişiklik Yapılması Hakkında Kanun</w:t>
      </w:r>
    </w:p>
    <w:p w:rsidR="00320EAB" w:rsidRPr="002D7120" w:rsidRDefault="00345D3E" w:rsidP="002B78E9">
      <w:pPr>
        <w:pStyle w:val="ListeParagraf"/>
        <w:numPr>
          <w:ilvl w:val="0"/>
          <w:numId w:val="13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KBS </w:t>
      </w: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aaş</w:t>
      </w:r>
      <w:r w:rsidR="00320EAB">
        <w:rPr>
          <w:rFonts w:ascii="Times New Roman" w:hAnsi="Times New Roman" w:cs="Times New Roman"/>
          <w:sz w:val="24"/>
          <w:szCs w:val="24"/>
        </w:rPr>
        <w:t xml:space="preserve"> Sistemi</w:t>
      </w:r>
    </w:p>
    <w:p w:rsidR="00320EAB" w:rsidRPr="006B0E4B" w:rsidRDefault="00320EAB" w:rsidP="00F57E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320EAB" w:rsidRDefault="00320EAB" w:rsidP="002B78E9">
      <w:pPr>
        <w:pStyle w:val="ListeParagraf"/>
        <w:numPr>
          <w:ilvl w:val="0"/>
          <w:numId w:val="14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Sendika Üyelik Formu </w:t>
      </w:r>
    </w:p>
    <w:p w:rsidR="00320EAB" w:rsidRDefault="00320EAB" w:rsidP="002B78E9">
      <w:pPr>
        <w:pStyle w:val="ListeParagraf"/>
        <w:numPr>
          <w:ilvl w:val="0"/>
          <w:numId w:val="14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Sendikadan Üyeliğinden Çekilme Formu</w:t>
      </w:r>
    </w:p>
    <w:p w:rsidR="00320EAB" w:rsidRPr="00744779" w:rsidRDefault="00320EAB" w:rsidP="004A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320EAB" w:rsidRPr="002D7120" w:rsidRDefault="00320EAB" w:rsidP="00F57E7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320EAB" w:rsidRPr="00902CEB">
        <w:trPr>
          <w:trHeight w:val="525"/>
        </w:trPr>
        <w:tc>
          <w:tcPr>
            <w:tcW w:w="994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320EAB" w:rsidRPr="00902CEB">
        <w:trPr>
          <w:trHeight w:val="567"/>
        </w:trPr>
        <w:tc>
          <w:tcPr>
            <w:tcW w:w="994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20EAB" w:rsidRPr="00902CEB">
        <w:trPr>
          <w:trHeight w:val="567"/>
        </w:trPr>
        <w:tc>
          <w:tcPr>
            <w:tcW w:w="994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20EAB" w:rsidRPr="006B0E4B" w:rsidRDefault="00320EAB">
      <w:pPr>
        <w:rPr>
          <w:rFonts w:ascii="Times New Roman" w:hAnsi="Times New Roman" w:cs="Times New Roman"/>
          <w:sz w:val="24"/>
          <w:szCs w:val="24"/>
        </w:rPr>
      </w:pPr>
    </w:p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sectPr w:rsidR="00320EAB" w:rsidSect="002B78E9">
      <w:headerReference w:type="default" r:id="rId7"/>
      <w:footerReference w:type="default" r:id="rId8"/>
      <w:pgSz w:w="11906" w:h="16838"/>
      <w:pgMar w:top="1418" w:right="851" w:bottom="1418" w:left="1418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06" w:rsidRDefault="00561506" w:rsidP="0007416F">
      <w:pPr>
        <w:spacing w:after="0" w:line="240" w:lineRule="auto"/>
      </w:pPr>
      <w:r>
        <w:separator/>
      </w:r>
    </w:p>
  </w:endnote>
  <w:endnote w:type="continuationSeparator" w:id="0">
    <w:p w:rsidR="00561506" w:rsidRDefault="00561506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7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66"/>
      <w:gridCol w:w="3350"/>
      <w:gridCol w:w="3291"/>
    </w:tblGrid>
    <w:tr w:rsidR="00320EAB" w:rsidRPr="00902CEB" w:rsidTr="00D0646F">
      <w:trPr>
        <w:trHeight w:val="558"/>
      </w:trPr>
      <w:tc>
        <w:tcPr>
          <w:tcW w:w="3366" w:type="dxa"/>
        </w:tcPr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350" w:type="dxa"/>
        </w:tcPr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291" w:type="dxa"/>
        </w:tcPr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320EAB" w:rsidRPr="00902CEB" w:rsidTr="002B78E9">
      <w:trPr>
        <w:trHeight w:val="894"/>
      </w:trPr>
      <w:tc>
        <w:tcPr>
          <w:tcW w:w="3366" w:type="dxa"/>
        </w:tcPr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350" w:type="dxa"/>
        </w:tcPr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291" w:type="dxa"/>
        </w:tcPr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20EAB" w:rsidRPr="00902CEB" w:rsidRDefault="00320EAB" w:rsidP="00D0646F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320EAB" w:rsidRDefault="00320E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06" w:rsidRDefault="00561506" w:rsidP="0007416F">
      <w:pPr>
        <w:spacing w:after="0" w:line="240" w:lineRule="auto"/>
      </w:pPr>
      <w:r>
        <w:separator/>
      </w:r>
    </w:p>
  </w:footnote>
  <w:footnote w:type="continuationSeparator" w:id="0">
    <w:p w:rsidR="00561506" w:rsidRDefault="00561506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3"/>
      <w:gridCol w:w="3511"/>
      <w:gridCol w:w="1735"/>
      <w:gridCol w:w="1780"/>
      <w:gridCol w:w="1474"/>
    </w:tblGrid>
    <w:tr w:rsidR="003D5418" w:rsidRPr="00902CEB" w:rsidTr="00D0646F">
      <w:trPr>
        <w:cantSplit/>
        <w:trHeight w:val="17"/>
      </w:trPr>
      <w:tc>
        <w:tcPr>
          <w:tcW w:w="1653" w:type="dxa"/>
          <w:vMerge w:val="restart"/>
          <w:vAlign w:val="center"/>
        </w:tcPr>
        <w:p w:rsidR="003D5418" w:rsidRPr="00902CEB" w:rsidRDefault="00345D3E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511" w:type="dxa"/>
        </w:tcPr>
        <w:p w:rsidR="003D5418" w:rsidRPr="00902CEB" w:rsidRDefault="003D5418" w:rsidP="00860832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3D5418" w:rsidRPr="00902CEB" w:rsidRDefault="003D5418" w:rsidP="00860832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3D5418" w:rsidRPr="00902CEB" w:rsidRDefault="003D5418" w:rsidP="00860832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735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80" w:type="dxa"/>
        </w:tcPr>
        <w:p w:rsidR="003D5418" w:rsidRPr="00902CEB" w:rsidRDefault="003D5418" w:rsidP="002B78E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2B78E9">
            <w:rPr>
              <w:rFonts w:ascii="Times New Roman" w:hAnsi="Times New Roman" w:cs="Times New Roman"/>
              <w:b/>
              <w:bCs/>
              <w:sz w:val="20"/>
              <w:szCs w:val="20"/>
            </w:rPr>
            <w:t>0</w:t>
          </w:r>
        </w:p>
      </w:tc>
      <w:tc>
        <w:tcPr>
          <w:tcW w:w="1474" w:type="dxa"/>
          <w:vMerge w:val="restart"/>
        </w:tcPr>
        <w:p w:rsidR="003D5418" w:rsidRPr="00902CEB" w:rsidRDefault="00345D3E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3D5418" w:rsidRPr="00902CEB" w:rsidTr="00D0646F">
      <w:trPr>
        <w:cantSplit/>
        <w:trHeight w:val="17"/>
      </w:trPr>
      <w:tc>
        <w:tcPr>
          <w:tcW w:w="1653" w:type="dxa"/>
          <w:vMerge/>
        </w:tcPr>
        <w:p w:rsidR="003D5418" w:rsidRPr="00902CEB" w:rsidRDefault="003D541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511" w:type="dxa"/>
          <w:vMerge w:val="restart"/>
          <w:vAlign w:val="center"/>
        </w:tcPr>
        <w:p w:rsidR="003D5418" w:rsidRPr="00902CEB" w:rsidRDefault="003D5418" w:rsidP="000A7C6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Sendika ve Sendikalı Personel İşlemleri Talimatı</w:t>
          </w:r>
        </w:p>
        <w:p w:rsidR="003D5418" w:rsidRPr="00902CEB" w:rsidRDefault="003D5418" w:rsidP="000A7C6A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35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80" w:type="dxa"/>
        </w:tcPr>
        <w:p w:rsidR="003D5418" w:rsidRPr="00902CEB" w:rsidRDefault="00473890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474" w:type="dxa"/>
          <w:vMerge/>
        </w:tcPr>
        <w:p w:rsidR="003D5418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3D5418" w:rsidRPr="00902CEB" w:rsidTr="00D0646F">
      <w:trPr>
        <w:cantSplit/>
        <w:trHeight w:val="17"/>
      </w:trPr>
      <w:tc>
        <w:tcPr>
          <w:tcW w:w="1653" w:type="dxa"/>
          <w:vMerge/>
        </w:tcPr>
        <w:p w:rsidR="003D5418" w:rsidRPr="00902CEB" w:rsidRDefault="003D541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511" w:type="dxa"/>
          <w:vMerge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35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80" w:type="dxa"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74" w:type="dxa"/>
          <w:vMerge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3D5418" w:rsidRPr="00902CEB" w:rsidTr="00D0646F">
      <w:trPr>
        <w:cantSplit/>
        <w:trHeight w:val="17"/>
      </w:trPr>
      <w:tc>
        <w:tcPr>
          <w:tcW w:w="1653" w:type="dxa"/>
          <w:vMerge/>
        </w:tcPr>
        <w:p w:rsidR="003D5418" w:rsidRPr="00902CEB" w:rsidRDefault="003D541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511" w:type="dxa"/>
          <w:vMerge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35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80" w:type="dxa"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74" w:type="dxa"/>
          <w:vMerge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3D5418" w:rsidRPr="00902CEB" w:rsidTr="00D0646F">
      <w:trPr>
        <w:cantSplit/>
        <w:trHeight w:val="17"/>
      </w:trPr>
      <w:tc>
        <w:tcPr>
          <w:tcW w:w="1653" w:type="dxa"/>
          <w:vMerge/>
        </w:tcPr>
        <w:p w:rsidR="003D5418" w:rsidRPr="00902CEB" w:rsidRDefault="003D541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511" w:type="dxa"/>
          <w:vMerge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35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80" w:type="dxa"/>
        </w:tcPr>
        <w:p w:rsidR="003D5418" w:rsidRPr="00D0646F" w:rsidRDefault="003D5418" w:rsidP="002B78E9">
          <w:pPr>
            <w:pStyle w:val="stBilgi"/>
            <w:jc w:val="left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D0646F">
            <w:rPr>
              <w:rStyle w:val="SayfaNumaras"/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D0646F">
            <w:rPr>
              <w:rStyle w:val="SayfaNumaras"/>
              <w:rFonts w:ascii="Times New Roman" w:hAnsi="Times New Roman" w:cs="Times New Roman"/>
              <w:bCs/>
              <w:sz w:val="20"/>
              <w:szCs w:val="20"/>
            </w:rPr>
            <w:instrText xml:space="preserve"> PAGE </w:instrText>
          </w:r>
          <w:r w:rsidRPr="00D0646F">
            <w:rPr>
              <w:rStyle w:val="SayfaNumaras"/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345D3E">
            <w:rPr>
              <w:rStyle w:val="SayfaNumaras"/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D0646F">
            <w:rPr>
              <w:rStyle w:val="SayfaNumaras"/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D0646F">
            <w:rPr>
              <w:rFonts w:ascii="Times New Roman" w:hAnsi="Times New Roman" w:cs="Times New Roman"/>
              <w:bCs/>
              <w:sz w:val="20"/>
              <w:szCs w:val="20"/>
            </w:rPr>
            <w:t>/</w:t>
          </w:r>
          <w:r w:rsidR="002B78E9" w:rsidRPr="00D0646F">
            <w:rPr>
              <w:rStyle w:val="SayfaNumaras"/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474" w:type="dxa"/>
          <w:vMerge/>
        </w:tcPr>
        <w:p w:rsidR="003D5418" w:rsidRPr="00902CEB" w:rsidRDefault="003D5418" w:rsidP="00F12CBE">
          <w:pPr>
            <w:pStyle w:val="stBilgi"/>
            <w:jc w:val="left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20EAB" w:rsidRDefault="00320E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B2C"/>
    <w:multiLevelType w:val="hybridMultilevel"/>
    <w:tmpl w:val="C69000FE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D09E6"/>
    <w:multiLevelType w:val="hybridMultilevel"/>
    <w:tmpl w:val="D13ED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290477"/>
    <w:multiLevelType w:val="hybridMultilevel"/>
    <w:tmpl w:val="D2129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C541D"/>
    <w:multiLevelType w:val="hybridMultilevel"/>
    <w:tmpl w:val="536CC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756D31"/>
    <w:multiLevelType w:val="hybridMultilevel"/>
    <w:tmpl w:val="770C7564"/>
    <w:lvl w:ilvl="0" w:tplc="30DEFD34">
      <w:start w:val="2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0F62"/>
    <w:multiLevelType w:val="hybridMultilevel"/>
    <w:tmpl w:val="8660B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F9107E"/>
    <w:multiLevelType w:val="multilevel"/>
    <w:tmpl w:val="6002C23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33608"/>
    <w:multiLevelType w:val="hybridMultilevel"/>
    <w:tmpl w:val="161C7A92"/>
    <w:lvl w:ilvl="0" w:tplc="2CA4E922">
      <w:start w:val="1"/>
      <w:numFmt w:val="decimal"/>
      <w:lvlText w:val="3.%1"/>
      <w:lvlJc w:val="right"/>
      <w:pPr>
        <w:ind w:left="1425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D52F00"/>
    <w:multiLevelType w:val="hybridMultilevel"/>
    <w:tmpl w:val="9C5265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DD68BA"/>
    <w:multiLevelType w:val="hybridMultilevel"/>
    <w:tmpl w:val="F7FAB6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1306C"/>
    <w:multiLevelType w:val="hybridMultilevel"/>
    <w:tmpl w:val="1D1AE4C0"/>
    <w:lvl w:ilvl="0" w:tplc="2CA4E922">
      <w:start w:val="1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1D2A9E"/>
    <w:multiLevelType w:val="hybridMultilevel"/>
    <w:tmpl w:val="575243E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A2BD5"/>
    <w:multiLevelType w:val="hybridMultilevel"/>
    <w:tmpl w:val="81AC2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6F"/>
    <w:rsid w:val="000150AA"/>
    <w:rsid w:val="00026D38"/>
    <w:rsid w:val="000715BE"/>
    <w:rsid w:val="0007416F"/>
    <w:rsid w:val="000976B9"/>
    <w:rsid w:val="000A7C6A"/>
    <w:rsid w:val="000B5B33"/>
    <w:rsid w:val="000C00E8"/>
    <w:rsid w:val="000C2F46"/>
    <w:rsid w:val="000D6F24"/>
    <w:rsid w:val="000E13D0"/>
    <w:rsid w:val="00104870"/>
    <w:rsid w:val="001169FD"/>
    <w:rsid w:val="00120E34"/>
    <w:rsid w:val="00153D58"/>
    <w:rsid w:val="00157E5A"/>
    <w:rsid w:val="00174AE5"/>
    <w:rsid w:val="001F0492"/>
    <w:rsid w:val="001F118F"/>
    <w:rsid w:val="002007B4"/>
    <w:rsid w:val="00205DE7"/>
    <w:rsid w:val="00216F2C"/>
    <w:rsid w:val="00231FD4"/>
    <w:rsid w:val="002B78E9"/>
    <w:rsid w:val="002D0B1F"/>
    <w:rsid w:val="002D7120"/>
    <w:rsid w:val="002F6475"/>
    <w:rsid w:val="00315AB5"/>
    <w:rsid w:val="00320EAB"/>
    <w:rsid w:val="00342F4D"/>
    <w:rsid w:val="00345D3E"/>
    <w:rsid w:val="00347437"/>
    <w:rsid w:val="00375898"/>
    <w:rsid w:val="00377E26"/>
    <w:rsid w:val="003A32C5"/>
    <w:rsid w:val="003A7C19"/>
    <w:rsid w:val="003B6EBC"/>
    <w:rsid w:val="003C62E3"/>
    <w:rsid w:val="003D5418"/>
    <w:rsid w:val="003D76D4"/>
    <w:rsid w:val="00440C17"/>
    <w:rsid w:val="0045108D"/>
    <w:rsid w:val="004624C5"/>
    <w:rsid w:val="00473890"/>
    <w:rsid w:val="00496266"/>
    <w:rsid w:val="004A1642"/>
    <w:rsid w:val="004A5AEB"/>
    <w:rsid w:val="004B0A1E"/>
    <w:rsid w:val="004B3E4C"/>
    <w:rsid w:val="004C70E3"/>
    <w:rsid w:val="004F45D8"/>
    <w:rsid w:val="005057DB"/>
    <w:rsid w:val="00505F49"/>
    <w:rsid w:val="005321F4"/>
    <w:rsid w:val="00552A50"/>
    <w:rsid w:val="00552E44"/>
    <w:rsid w:val="00561506"/>
    <w:rsid w:val="005701F3"/>
    <w:rsid w:val="00573F60"/>
    <w:rsid w:val="00580088"/>
    <w:rsid w:val="005B158D"/>
    <w:rsid w:val="005B6E89"/>
    <w:rsid w:val="005C1332"/>
    <w:rsid w:val="00645D50"/>
    <w:rsid w:val="00647234"/>
    <w:rsid w:val="006B0E4B"/>
    <w:rsid w:val="006B3C42"/>
    <w:rsid w:val="006E041B"/>
    <w:rsid w:val="00716919"/>
    <w:rsid w:val="00744779"/>
    <w:rsid w:val="00747AFB"/>
    <w:rsid w:val="00750938"/>
    <w:rsid w:val="00751DB7"/>
    <w:rsid w:val="0076727A"/>
    <w:rsid w:val="00770313"/>
    <w:rsid w:val="00771FCE"/>
    <w:rsid w:val="00775B65"/>
    <w:rsid w:val="00794C68"/>
    <w:rsid w:val="007A6077"/>
    <w:rsid w:val="007A7C59"/>
    <w:rsid w:val="007B6F7D"/>
    <w:rsid w:val="0080348C"/>
    <w:rsid w:val="008161FB"/>
    <w:rsid w:val="008166FF"/>
    <w:rsid w:val="00830880"/>
    <w:rsid w:val="008356F4"/>
    <w:rsid w:val="00851807"/>
    <w:rsid w:val="00860832"/>
    <w:rsid w:val="00873A73"/>
    <w:rsid w:val="00877607"/>
    <w:rsid w:val="008963AA"/>
    <w:rsid w:val="008B0F5A"/>
    <w:rsid w:val="008D5566"/>
    <w:rsid w:val="008D7A97"/>
    <w:rsid w:val="008E75D9"/>
    <w:rsid w:val="00902CEB"/>
    <w:rsid w:val="00943B85"/>
    <w:rsid w:val="0094670E"/>
    <w:rsid w:val="00953A7E"/>
    <w:rsid w:val="009A70DA"/>
    <w:rsid w:val="009E6319"/>
    <w:rsid w:val="00A16FA2"/>
    <w:rsid w:val="00A36647"/>
    <w:rsid w:val="00A53CD8"/>
    <w:rsid w:val="00A84AA3"/>
    <w:rsid w:val="00A864F1"/>
    <w:rsid w:val="00AB42D5"/>
    <w:rsid w:val="00AC6766"/>
    <w:rsid w:val="00AD0367"/>
    <w:rsid w:val="00AF7CA6"/>
    <w:rsid w:val="00B02C34"/>
    <w:rsid w:val="00B2288F"/>
    <w:rsid w:val="00B65411"/>
    <w:rsid w:val="00BA2213"/>
    <w:rsid w:val="00BC2722"/>
    <w:rsid w:val="00BC2B6E"/>
    <w:rsid w:val="00BE17B2"/>
    <w:rsid w:val="00C55F5C"/>
    <w:rsid w:val="00C70B2D"/>
    <w:rsid w:val="00CB6A77"/>
    <w:rsid w:val="00CC0401"/>
    <w:rsid w:val="00CC591C"/>
    <w:rsid w:val="00CC6BB5"/>
    <w:rsid w:val="00CF7D89"/>
    <w:rsid w:val="00D0646F"/>
    <w:rsid w:val="00D21641"/>
    <w:rsid w:val="00D61F18"/>
    <w:rsid w:val="00DA426E"/>
    <w:rsid w:val="00DB22A5"/>
    <w:rsid w:val="00DD4C30"/>
    <w:rsid w:val="00DE02D5"/>
    <w:rsid w:val="00DF6BB7"/>
    <w:rsid w:val="00E076E2"/>
    <w:rsid w:val="00E0779B"/>
    <w:rsid w:val="00E13516"/>
    <w:rsid w:val="00E248BC"/>
    <w:rsid w:val="00E67C88"/>
    <w:rsid w:val="00E7773A"/>
    <w:rsid w:val="00E81287"/>
    <w:rsid w:val="00E82F94"/>
    <w:rsid w:val="00E84089"/>
    <w:rsid w:val="00E94F84"/>
    <w:rsid w:val="00EB0C50"/>
    <w:rsid w:val="00EE1782"/>
    <w:rsid w:val="00F12CBE"/>
    <w:rsid w:val="00F13EED"/>
    <w:rsid w:val="00F428E3"/>
    <w:rsid w:val="00F466F7"/>
    <w:rsid w:val="00F541E0"/>
    <w:rsid w:val="00F57E7C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4D32FE0D"/>
  <w15:docId w15:val="{E1EA49D2-CEF7-415D-A646-D17EFBCE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6F"/>
    <w:pPr>
      <w:spacing w:before="120" w:after="200" w:line="276" w:lineRule="auto"/>
      <w:ind w:left="357" w:hanging="357"/>
      <w:jc w:val="both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rsid w:val="000D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0D6F24"/>
    <w:rPr>
      <w:rFonts w:ascii="Times New Roman" w:hAnsi="Times New Roman" w:cs="Times New Roman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5C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Ercan KAÇAR</cp:lastModifiedBy>
  <cp:revision>95</cp:revision>
  <cp:lastPrinted>2011-04-12T12:03:00Z</cp:lastPrinted>
  <dcterms:created xsi:type="dcterms:W3CDTF">2011-03-16T09:41:00Z</dcterms:created>
  <dcterms:modified xsi:type="dcterms:W3CDTF">2020-02-19T12:50:00Z</dcterms:modified>
</cp:coreProperties>
</file>