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56" w:type="dxa"/>
        <w:tblCellMar>
          <w:left w:w="10" w:type="dxa"/>
          <w:right w:w="10" w:type="dxa"/>
        </w:tblCellMar>
        <w:tblLook w:val="0000"/>
      </w:tblPr>
      <w:tblGrid>
        <w:gridCol w:w="5053"/>
        <w:gridCol w:w="5154"/>
      </w:tblGrid>
      <w:tr w:rsidR="002E21E8" w:rsidTr="00F922A6">
        <w:tblPrEx>
          <w:tblCellMar>
            <w:top w:w="0" w:type="dxa"/>
            <w:bottom w:w="0" w:type="dxa"/>
          </w:tblCellMar>
        </w:tblPrEx>
        <w:trPr>
          <w:trHeight w:val="9942"/>
        </w:trPr>
        <w:tc>
          <w:tcPr>
            <w:tcW w:w="10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BİRİM ADI: ÖZEL KALEM MÜDÜRLÜĞÜ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Bir önceki toplantıda alınan kararlara yönelik yapılan faaliyetler ve sonuçları:</w:t>
            </w: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YGG toplantısında alınan kararlara istinaden müdürlüğümüz personelleri masabaşı eğitime tabi tutulmuştur.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Kalite Yönetim Sistemini etkileyebilecek değişiklikler:</w:t>
            </w: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Kalite Yönetim Sistemini etkileyebilecek herhangi bir değişiklik olmamıştır.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Müşteri geri beslemesi (şikayet, öneri, anket, toplantı vb.):</w:t>
            </w:r>
          </w:p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Anket çalışmaları devam etmektedir. Personel ve Vatanda</w:t>
            </w:r>
            <w:r>
              <w:rPr>
                <w:rFonts w:ascii="Times New Roman" w:eastAsia="Times New Roman" w:hAnsi="Times New Roman" w:cs="Times New Roman"/>
                <w:sz w:val="24"/>
              </w:rPr>
              <w:t>ş memnuniyeti değerlendirme anketi devam etmektedir.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KYS İç/Dış tetkik raporlarının değerlendirilmesi:</w:t>
            </w:r>
          </w:p>
          <w:p w:rsidR="002E21E8" w:rsidRDefault="00DE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İç tetkik raporlarında yapılan değerlendirmeler sonucunda; dilekçelerin kaydı yapılarak işleme alındığını, Birim Arşiv logoların değiştirildiğini, h</w:t>
            </w:r>
            <w:r>
              <w:rPr>
                <w:rFonts w:ascii="Times New Roman" w:eastAsia="Times New Roman" w:hAnsi="Times New Roman" w:cs="Times New Roman"/>
                <w:sz w:val="24"/>
              </w:rPr>
              <w:t>edeflerin yeniden gözden geçirilerek ölçülebilir olduğunu ve arşiv sorumlusu belirlenip onayının alındığı işlemlerin tam olarak yapılmıştır. Fakat Libre Office sorunu tesbit edilmiş olup Bilgi İşlem Şube Müdürlüğü tarafında sorun giderilmemiştir.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Düze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ltici Önleyici faaliyetlerin sonuçları:</w:t>
            </w:r>
          </w:p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Düzeltici Önleyici faaliyetler yapılmamıştır.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Kalite politikasının uygulanması ile hedeflerin gözden geçirilmesi:</w:t>
            </w:r>
          </w:p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Hedefler tutmu</w:t>
            </w:r>
            <w:r>
              <w:rPr>
                <w:rFonts w:ascii="Times New Roman" w:eastAsia="Times New Roman" w:hAnsi="Times New Roman" w:cs="Times New Roman"/>
                <w:sz w:val="24"/>
              </w:rPr>
              <w:t>ştur.müdürlüğümüz 3 adet hedefi bulunmaktadır. Belirlenen adımlar sürecinde hedefler tutmaktadır.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Kaynakların Durumu:</w:t>
            </w:r>
          </w:p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Yeterli teknik donanım sağlanmakta internet erişimi sorunsuz sağlanmakta, diğer teknik donanımlar (faks, fotokopi makinası, tarayıcı)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yeterli düzeydedir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İyileştirme Önerileri, İstek ve beklentiler: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Uygulanması Planlanan Faaliyetler:</w:t>
            </w:r>
          </w:p>
          <w:p w:rsidR="002E21E8" w:rsidRDefault="00DE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Kalite hedeflerinde belirlenen faaliyetleri sorunsuz bir şekilde yerine getirmek.</w:t>
            </w:r>
          </w:p>
          <w:p w:rsidR="002E21E8" w:rsidRDefault="002E2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21E8" w:rsidRDefault="00DE0F22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Öneriler:</w:t>
            </w:r>
          </w:p>
          <w:p w:rsidR="002E21E8" w:rsidRDefault="002E21E8">
            <w:pPr>
              <w:spacing w:after="0" w:line="240" w:lineRule="auto"/>
            </w:pPr>
          </w:p>
        </w:tc>
      </w:tr>
      <w:tr w:rsidR="002E21E8" w:rsidTr="00F922A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Hazırlayan (Birim Müdürü)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Onaylayan (Yönetim Temsilcisi)</w:t>
            </w:r>
          </w:p>
        </w:tc>
      </w:tr>
      <w:tr w:rsidR="002E21E8" w:rsidTr="00F922A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Tarih: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Tarih:</w:t>
            </w:r>
          </w:p>
        </w:tc>
      </w:tr>
      <w:tr w:rsidR="002E21E8" w:rsidTr="00F922A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İmza: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21E8" w:rsidRDefault="00DE0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İmza:</w:t>
            </w:r>
          </w:p>
        </w:tc>
      </w:tr>
    </w:tbl>
    <w:p w:rsidR="002E21E8" w:rsidRDefault="002E21E8">
      <w:pPr>
        <w:spacing w:after="0" w:line="240" w:lineRule="auto"/>
        <w:rPr>
          <w:rFonts w:ascii="Calibri" w:eastAsia="Calibri" w:hAnsi="Calibri" w:cs="Calibri"/>
        </w:rPr>
      </w:pPr>
    </w:p>
    <w:sectPr w:rsidR="002E21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22" w:rsidRDefault="00DE0F22" w:rsidP="00227559">
      <w:pPr>
        <w:spacing w:after="0" w:line="240" w:lineRule="auto"/>
      </w:pPr>
      <w:r>
        <w:separator/>
      </w:r>
    </w:p>
  </w:endnote>
  <w:endnote w:type="continuationSeparator" w:id="1">
    <w:p w:rsidR="00DE0F22" w:rsidRDefault="00DE0F22" w:rsidP="002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22" w:rsidRDefault="00DE0F22" w:rsidP="00227559">
      <w:pPr>
        <w:spacing w:after="0" w:line="240" w:lineRule="auto"/>
      </w:pPr>
      <w:r>
        <w:separator/>
      </w:r>
    </w:p>
  </w:footnote>
  <w:footnote w:type="continuationSeparator" w:id="1">
    <w:p w:rsidR="00DE0F22" w:rsidRDefault="00DE0F22" w:rsidP="0022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4"/>
      <w:gridCol w:w="3402"/>
      <w:gridCol w:w="1559"/>
      <w:gridCol w:w="1843"/>
      <w:gridCol w:w="1559"/>
    </w:tblGrid>
    <w:tr w:rsidR="00227559" w:rsidTr="00227559">
      <w:tblPrEx>
        <w:tblCellMar>
          <w:top w:w="0" w:type="dxa"/>
          <w:bottom w:w="0" w:type="dxa"/>
        </w:tblCellMar>
      </w:tblPrEx>
      <w:trPr>
        <w:cantSplit/>
        <w:trHeight w:val="540"/>
      </w:trPr>
      <w:tc>
        <w:tcPr>
          <w:tcW w:w="1844" w:type="dxa"/>
          <w:vMerge w:val="restart"/>
          <w:vAlign w:val="center"/>
        </w:tcPr>
        <w:p w:rsidR="00227559" w:rsidRPr="009C6931" w:rsidRDefault="00227559" w:rsidP="00B3793A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0100" cy="1019175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227559" w:rsidRPr="00227559" w:rsidRDefault="00227559" w:rsidP="00B3793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27559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27559" w:rsidRPr="00227559" w:rsidRDefault="00227559" w:rsidP="00B3793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275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227559" w:rsidRPr="00227559" w:rsidRDefault="00227559" w:rsidP="00B3793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27559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 Bürosu</w:t>
          </w:r>
        </w:p>
      </w:tc>
      <w:tc>
        <w:tcPr>
          <w:tcW w:w="1559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MV.33.KYS.RP.04</w:t>
          </w:r>
        </w:p>
      </w:tc>
      <w:tc>
        <w:tcPr>
          <w:tcW w:w="1559" w:type="dxa"/>
          <w:vMerge w:val="restart"/>
        </w:tcPr>
        <w:p w:rsidR="00227559" w:rsidRPr="00AC3B76" w:rsidRDefault="00227559" w:rsidP="00B3793A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904875" cy="108585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559" w:rsidTr="00227559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44" w:type="dxa"/>
          <w:vMerge/>
        </w:tcPr>
        <w:p w:rsidR="00227559" w:rsidRDefault="00227559" w:rsidP="00B3793A">
          <w:pPr>
            <w:pStyle w:val="stbilgi"/>
          </w:pPr>
        </w:p>
      </w:tc>
      <w:tc>
        <w:tcPr>
          <w:tcW w:w="3402" w:type="dxa"/>
          <w:vMerge w:val="restart"/>
          <w:vAlign w:val="center"/>
        </w:tcPr>
        <w:p w:rsidR="00227559" w:rsidRPr="00227559" w:rsidRDefault="00227559" w:rsidP="00B3793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27559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Performans Raporu</w:t>
          </w:r>
        </w:p>
      </w:tc>
      <w:tc>
        <w:tcPr>
          <w:tcW w:w="1559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227559" w:rsidRDefault="00227559" w:rsidP="00B3793A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7559" w:rsidTr="00227559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44" w:type="dxa"/>
          <w:vMerge/>
        </w:tcPr>
        <w:p w:rsidR="00227559" w:rsidRDefault="00227559" w:rsidP="00B3793A">
          <w:pPr>
            <w:pStyle w:val="stbilgi"/>
          </w:pPr>
        </w:p>
      </w:tc>
      <w:tc>
        <w:tcPr>
          <w:tcW w:w="3402" w:type="dxa"/>
          <w:vMerge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59" w:type="dxa"/>
          <w:vMerge/>
        </w:tcPr>
        <w:p w:rsidR="00227559" w:rsidRPr="00AC3B76" w:rsidRDefault="00227559" w:rsidP="00B3793A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7559" w:rsidTr="00227559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44" w:type="dxa"/>
          <w:vMerge/>
        </w:tcPr>
        <w:p w:rsidR="00227559" w:rsidRDefault="00227559" w:rsidP="00B3793A">
          <w:pPr>
            <w:pStyle w:val="stbilgi"/>
          </w:pPr>
        </w:p>
      </w:tc>
      <w:tc>
        <w:tcPr>
          <w:tcW w:w="3402" w:type="dxa"/>
          <w:vMerge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59" w:type="dxa"/>
          <w:vMerge/>
        </w:tcPr>
        <w:p w:rsidR="00227559" w:rsidRPr="00AC3B76" w:rsidRDefault="00227559" w:rsidP="00B3793A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7559" w:rsidTr="00227559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44" w:type="dxa"/>
          <w:vMerge/>
        </w:tcPr>
        <w:p w:rsidR="00227559" w:rsidRDefault="00227559" w:rsidP="00B3793A">
          <w:pPr>
            <w:pStyle w:val="stbilgi"/>
          </w:pPr>
        </w:p>
      </w:tc>
      <w:tc>
        <w:tcPr>
          <w:tcW w:w="3402" w:type="dxa"/>
          <w:vMerge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27559" w:rsidRPr="00227559" w:rsidRDefault="00227559" w:rsidP="00B3793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27559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227559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227559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F922A6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227559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227559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227559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  <w:tc>
        <w:tcPr>
          <w:tcW w:w="1559" w:type="dxa"/>
          <w:vMerge/>
        </w:tcPr>
        <w:p w:rsidR="00227559" w:rsidRPr="00AC3B76" w:rsidRDefault="00227559" w:rsidP="00B3793A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27559" w:rsidRPr="00227559" w:rsidRDefault="00227559" w:rsidP="002275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1E8"/>
    <w:rsid w:val="00227559"/>
    <w:rsid w:val="002E21E8"/>
    <w:rsid w:val="00DE0F22"/>
    <w:rsid w:val="00F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7559"/>
  </w:style>
  <w:style w:type="paragraph" w:styleId="Altbilgi">
    <w:name w:val="footer"/>
    <w:basedOn w:val="Normal"/>
    <w:link w:val="AltbilgiChar"/>
    <w:uiPriority w:val="99"/>
    <w:semiHidden/>
    <w:unhideWhenUsed/>
    <w:rsid w:val="0022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7559"/>
  </w:style>
  <w:style w:type="character" w:styleId="SayfaNumaras">
    <w:name w:val="page number"/>
    <w:basedOn w:val="VarsaylanParagrafYazTipi"/>
    <w:rsid w:val="00227559"/>
  </w:style>
  <w:style w:type="paragraph" w:styleId="BalonMetni">
    <w:name w:val="Balloon Text"/>
    <w:basedOn w:val="Normal"/>
    <w:link w:val="BalonMetniChar"/>
    <w:uiPriority w:val="99"/>
    <w:semiHidden/>
    <w:unhideWhenUsed/>
    <w:rsid w:val="002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</cp:lastModifiedBy>
  <cp:revision>3</cp:revision>
  <dcterms:created xsi:type="dcterms:W3CDTF">2013-02-27T09:49:00Z</dcterms:created>
  <dcterms:modified xsi:type="dcterms:W3CDTF">2013-02-27T09:52:00Z</dcterms:modified>
</cp:coreProperties>
</file>