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Default="00C17E9F" w:rsidP="00A8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Naklen atama yoluyla Valilik ve Kaymakamlıkların personel ihtiyacını karşılamak ve kurum dışına atanacak personelin iş ve işlemlerini yürütmek. </w:t>
      </w:r>
    </w:p>
    <w:p w:rsidR="00C17E9F" w:rsidRPr="00D52A70" w:rsidRDefault="00C17E9F" w:rsidP="00A86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Vali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Vali Yardımcısı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C17E9F" w:rsidRPr="00D52A70" w:rsidRDefault="00C17E9F" w:rsidP="00891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C17E9F" w:rsidRDefault="00C17E9F" w:rsidP="00F613F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Naklen gelecek personel için;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13F1">
        <w:rPr>
          <w:rFonts w:ascii="Times New Roman" w:hAnsi="Times New Roman" w:cs="Times New Roman"/>
          <w:noProof/>
          <w:sz w:val="24"/>
          <w:szCs w:val="24"/>
          <w:lang w:eastAsia="tr-TR"/>
        </w:rPr>
        <w:t>Naklen atamalarda t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ayin talep dilekçesinin ekine (öğrenim durumunu, maaş derece/kademesini, tayin gerekçesini, mesleki deneyimini, çalışmak isteği ilçeyi/valiliği, irtibat telefonlarını yazarak) Nüfus Cüzdan fotokopisinin eklenmesi sağlanır,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Tayin talepler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listesine eklenir.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 xml:space="preserve">Talep Kaymakamlık kadrosuna ise,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Kaymakamlığın üst yazısında uygun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görüşü olup olmadığına bakılır.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Tayin talep dilekçesinin bir örneği Özel Kalem Müdürlüğüne verilir.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 xml:space="preserve">Talep Valilikçe olumsuz görülmüş </w:t>
      </w:r>
      <w:r w:rsidR="006A1EFF">
        <w:rPr>
          <w:rFonts w:ascii="Times New Roman" w:hAnsi="Times New Roman" w:cs="Times New Roman"/>
          <w:sz w:val="24"/>
          <w:szCs w:val="24"/>
        </w:rPr>
        <w:t>veya işlem süreci (muvafakat, atama izni vb.) olumsuz sonuçlanmış ise</w:t>
      </w:r>
      <w:r w:rsidRPr="00D52A70">
        <w:rPr>
          <w:rFonts w:ascii="Times New Roman" w:hAnsi="Times New Roman" w:cs="Times New Roman"/>
          <w:sz w:val="24"/>
          <w:szCs w:val="24"/>
        </w:rPr>
        <w:t xml:space="preserve"> ilgili kişiye bilgi verilir.</w:t>
      </w:r>
    </w:p>
    <w:p w:rsidR="00C17E9F" w:rsidRDefault="00C17E9F" w:rsidP="001B0009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0154C">
        <w:rPr>
          <w:rFonts w:ascii="Times New Roman" w:hAnsi="Times New Roman" w:cs="Times New Roman"/>
          <w:sz w:val="24"/>
          <w:szCs w:val="24"/>
        </w:rPr>
        <w:t xml:space="preserve">Tayin talebi olumlu ise; </w:t>
      </w:r>
      <w:r w:rsidRPr="00B0154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ilgi kurumdan muvafakatı alınarak, hizmet </w:t>
      </w:r>
      <w:r w:rsidR="00C50E27">
        <w:rPr>
          <w:rFonts w:ascii="Times New Roman" w:hAnsi="Times New Roman" w:cs="Times New Roman"/>
          <w:noProof/>
          <w:sz w:val="24"/>
          <w:szCs w:val="24"/>
          <w:lang w:eastAsia="tr-TR"/>
        </w:rPr>
        <w:t>belgesi</w:t>
      </w:r>
      <w:r w:rsidRPr="00B0154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istenir, düzenlenecek Kurumlar Arası Naklen Ataması Yapılacak Personele Ait Form ile birlikte Valilikçe Bakanlıktan atama izni istenir. (</w:t>
      </w:r>
      <w:r w:rsidR="006A1EF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kurumiçi naklen atamalarda </w:t>
      </w:r>
      <w:r w:rsidRPr="00B0154C">
        <w:rPr>
          <w:rFonts w:ascii="Times New Roman" w:hAnsi="Times New Roman" w:cs="Times New Roman"/>
          <w:noProof/>
          <w:sz w:val="24"/>
          <w:szCs w:val="24"/>
          <w:lang w:eastAsia="tr-TR"/>
        </w:rPr>
        <w:t>şef ve üstü ünvanlı kadrolar için izin istenmez)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Valilik tarafından yapılır veya atama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ilçe kadrosuna ise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Kaymakamlıkça yapılarak tasdik için Valiliğe gönderilir.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yeri kaymakamlıksa,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tasdik edilen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atama onayı kaymakamlığa gönderilir.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</w:t>
      </w:r>
      <w:r w:rsidR="00710BE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onayı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ilişik kesilebilmesi için ilgilinin kurumuna gönderilir.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İlgili göreve başlatılır veya atama yeri Kaymakamlıksa Kaymakamlık başlamasını bildirir.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Atama onayının bir örneği eklenerek, başlaması İçişleri Bakanlığına bildiril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ir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br/>
        <w:t>(kurum dışından gelenler için Personel ve Kadro Kayıt Kartı ile 1 adet fotoğraf da eklenir)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Tayin talepleri listesinden çıkarılır.</w:t>
      </w:r>
    </w:p>
    <w:p w:rsidR="00C17E9F" w:rsidRPr="00D52A70" w:rsidRDefault="00C17E9F" w:rsidP="00B0154C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Valilik kadrosuna atanır ise başlaması ayrıca; 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 xml:space="preserve">Personel nakil bildiriminin bir örneği ile atama onayından bir örnek </w:t>
      </w:r>
      <w:r w:rsidR="00710BEA">
        <w:rPr>
          <w:rFonts w:ascii="Times New Roman" w:hAnsi="Times New Roman" w:cs="Times New Roman"/>
          <w:sz w:val="24"/>
          <w:szCs w:val="24"/>
        </w:rPr>
        <w:t>Muhasebe görevlisine</w:t>
      </w:r>
      <w:r w:rsidRPr="00D52A70">
        <w:rPr>
          <w:rFonts w:ascii="Times New Roman" w:hAnsi="Times New Roman" w:cs="Times New Roman"/>
          <w:sz w:val="24"/>
          <w:szCs w:val="24"/>
        </w:rPr>
        <w:t xml:space="preserve"> verilir.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Kadro cetveline işlenir.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Görev yapacak Valilik birimi için onay alınarak, ilgili birime bildirilir,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modülüne kaydı için ilgili form doldurularak, Bilgi İşlem Bürosuna verilir,</w:t>
      </w:r>
    </w:p>
    <w:p w:rsidR="00C17E9F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T.C. kimlik numarası esas alınarak, e-içişleri personel modülündeki personel bilgi sistemine kaydı yapılır. </w:t>
      </w:r>
    </w:p>
    <w:p w:rsidR="00C66239" w:rsidRDefault="00C66239" w:rsidP="00C66239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Kütük defterine kaydı yapılarak kurum sicil numarası verilir.</w:t>
      </w:r>
    </w:p>
    <w:p w:rsidR="00C66239" w:rsidRPr="00C66239" w:rsidRDefault="00C66239" w:rsidP="00C66239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6239">
        <w:rPr>
          <w:rFonts w:ascii="Times New Roman" w:hAnsi="Times New Roman" w:cs="Times New Roman"/>
          <w:noProof/>
          <w:sz w:val="24"/>
          <w:szCs w:val="24"/>
          <w:lang w:eastAsia="tr-TR"/>
        </w:rPr>
        <w:t>Personel Kimlik Kartı için en kısa sürede Bakanlıktan talepte bulunulur.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Resmi güvenlik soruşturması yaptırılır,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F3F">
        <w:rPr>
          <w:rFonts w:ascii="Times New Roman" w:hAnsi="Times New Roman" w:cs="Times New Roman"/>
          <w:noProof/>
          <w:sz w:val="24"/>
          <w:szCs w:val="24"/>
          <w:lang w:eastAsia="tr-TR"/>
        </w:rPr>
        <w:t>Kamu Görevlileri Etik Sözleşmesi imzalatılır.</w:t>
      </w:r>
    </w:p>
    <w:p w:rsidR="00C17E9F" w:rsidRPr="006C6F3F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Tayin talepleri listesinden çıkarılır.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Özlük dosyası açılır.</w:t>
      </w:r>
    </w:p>
    <w:p w:rsidR="00C17E9F" w:rsidRDefault="00C17E9F" w:rsidP="00B0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E9F" w:rsidRPr="009D1149" w:rsidRDefault="00C17E9F" w:rsidP="00945A2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149">
        <w:rPr>
          <w:rFonts w:ascii="Times New Roman" w:hAnsi="Times New Roman" w:cs="Times New Roman"/>
          <w:b/>
          <w:bCs/>
          <w:sz w:val="24"/>
          <w:szCs w:val="24"/>
        </w:rPr>
        <w:t>Naklen giden personel için;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İlgili kurumdan muvafakat istem yazısı gelir. 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Yetkili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amirlere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bir fotokopisi verilir.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Vali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lik 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görüşü olumsuz ise, ilgili kuruma muvafakatının uygun görülmediği bildirilir.</w:t>
      </w:r>
    </w:p>
    <w:p w:rsidR="00C17E9F" w:rsidRPr="009D1149" w:rsidRDefault="00C17E9F" w:rsidP="00C66239">
      <w:pPr>
        <w:pStyle w:val="ListeParagraf"/>
        <w:spacing w:before="120"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Olumlu ise</w:t>
      </w:r>
      <w:r w:rsidR="00C6623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v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erilecek muvafakata esas olmak üzere görev yaptığı birimden görüş istenir.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Muvafakatı verilerek, hizmet </w:t>
      </w:r>
      <w:r w:rsidR="00C50E27">
        <w:rPr>
          <w:rFonts w:ascii="Times New Roman" w:hAnsi="Times New Roman" w:cs="Times New Roman"/>
          <w:noProof/>
          <w:sz w:val="24"/>
          <w:szCs w:val="24"/>
          <w:lang w:eastAsia="tr-TR"/>
        </w:rPr>
        <w:t>belgesi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ilgili kuruma gönderilir.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Ataması gerçekleşmez ise, evrakları işlemden kaldırılır.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yapıldı ise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atama onayı ilgili kurumca gönderilir.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Makul olacak şekilde, ilgilinin ayrılacağı tarih öğrenilerek atama onayı ilgiliye tebliğ edilir.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Ayrılacağı tarih, izin ve rapor durumu, tebliğ tarihi </w:t>
      </w:r>
      <w:r w:rsidR="00710BEA">
        <w:rPr>
          <w:rFonts w:ascii="Times New Roman" w:hAnsi="Times New Roman" w:cs="Times New Roman"/>
          <w:noProof/>
          <w:sz w:val="24"/>
          <w:szCs w:val="24"/>
          <w:lang w:eastAsia="tr-TR"/>
        </w:rPr>
        <w:t>Muhasebe görevlisine</w:t>
      </w:r>
      <w:r w:rsidR="00C66239"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bildirilerek, Personel Nakil Bildiriminin hazırlanması sağlanır.</w:t>
      </w:r>
    </w:p>
    <w:p w:rsidR="00C17E9F" w:rsidRPr="00710BEA" w:rsidRDefault="00C17E9F" w:rsidP="003D502B">
      <w:pPr>
        <w:pStyle w:val="ListeParagraf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710BE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Ayrılışı;</w:t>
      </w:r>
    </w:p>
    <w:p w:rsidR="00C17E9F" w:rsidRPr="009D1149" w:rsidRDefault="00C17E9F" w:rsidP="003D502B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İçişleri Bakanlığına ve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çalıştığı Valilik birimine ayrılış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tarihi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bildirilir.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Ayrıldığı tarih atandığı kuruma bildirilerek, özlük dosyası gönderilir.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Kadro cetvellerinden kaydı silinir ve kadrosu boş olarak gösterilir.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>E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modülünden kaydının düşümü için, Bilgi İşlem Bürosuna bilgi verilir.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Personel programındaki kaydı “kurumdan ayrılanlar” bölümüne aktarılır.</w:t>
      </w:r>
    </w:p>
    <w:p w:rsidR="00C17E9F" w:rsidRPr="009D1149" w:rsidRDefault="00C17E9F" w:rsidP="00945A2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>4.REFERANLAR</w:t>
      </w:r>
    </w:p>
    <w:p w:rsidR="00C17E9F" w:rsidRPr="009D1149" w:rsidRDefault="00C17E9F" w:rsidP="00945A2C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38">
        <w:rPr>
          <w:rFonts w:ascii="Times New Roman" w:hAnsi="Times New Roman" w:cs="Times New Roman"/>
          <w:sz w:val="24"/>
          <w:szCs w:val="24"/>
        </w:rPr>
        <w:t>657 Sayılı Devlet Memurları Kanunu</w:t>
      </w:r>
    </w:p>
    <w:p w:rsidR="00C17E9F" w:rsidRPr="004942D2" w:rsidRDefault="00C17E9F" w:rsidP="00945A2C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E6138">
        <w:rPr>
          <w:rFonts w:ascii="Times New Roman" w:hAnsi="Times New Roman" w:cs="Times New Roman"/>
          <w:sz w:val="24"/>
          <w:szCs w:val="24"/>
        </w:rPr>
        <w:t>İçişleri Bakanlığı Personeli Yer Değiştirme ve Atama Yönetmeliği</w:t>
      </w:r>
    </w:p>
    <w:p w:rsidR="00C17E9F" w:rsidRDefault="00C17E9F" w:rsidP="005E6138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E6138">
        <w:rPr>
          <w:rFonts w:ascii="Times New Roman" w:hAnsi="Times New Roman" w:cs="Times New Roman"/>
          <w:sz w:val="24"/>
          <w:szCs w:val="24"/>
        </w:rPr>
        <w:t>Devlet Memurlarının Yer Değiştirme Suretiyle Atanmalarına İlişkin Yönetmelik</w:t>
      </w:r>
    </w:p>
    <w:p w:rsidR="005E6138" w:rsidRPr="005E6138" w:rsidRDefault="005E6138" w:rsidP="005E6138">
      <w:pPr>
        <w:pStyle w:val="ListeParagra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17E9F" w:rsidRPr="00D52A70" w:rsidRDefault="00C17E9F" w:rsidP="003D5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5.KAYITLAR</w:t>
      </w:r>
    </w:p>
    <w:p w:rsidR="00C17E9F" w:rsidRPr="00D52A70" w:rsidRDefault="00110C50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8" w:history="1">
        <w:r w:rsidR="00C17E9F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Tayin talepleri Formu-MV.33.YİM.FR.08</w:t>
        </w:r>
      </w:hyperlink>
    </w:p>
    <w:p w:rsidR="00C17E9F" w:rsidRPr="00D52A70" w:rsidRDefault="00110C50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9" w:history="1">
        <w:r w:rsidR="00C17E9F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Hizmet </w:t>
        </w:r>
        <w:r w:rsidR="00C50E27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Belgesi</w:t>
        </w:r>
      </w:hyperlink>
      <w:r w:rsidR="00C50E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17E9F" w:rsidRPr="00D52A70" w:rsidRDefault="00110C50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10" w:history="1">
        <w:r w:rsidR="00C17E9F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Kurumlar Arası Naklen Ataması Yapılacak Personele Ait Form</w:t>
        </w:r>
      </w:hyperlink>
    </w:p>
    <w:p w:rsidR="00C17E9F" w:rsidRPr="00D52A70" w:rsidRDefault="001C6F2F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11" w:history="1">
        <w:r w:rsidR="00C17E9F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Personel Hareketleri Onayı</w:t>
        </w:r>
      </w:hyperlink>
    </w:p>
    <w:p w:rsidR="00C17E9F" w:rsidRPr="00D52A70" w:rsidRDefault="001C6F2F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12" w:history="1">
        <w:r w:rsidR="00C17E9F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Personel ve Kadro Kayıt Kartı</w:t>
        </w:r>
      </w:hyperlink>
    </w:p>
    <w:p w:rsidR="00C17E9F" w:rsidRPr="00D52A70" w:rsidRDefault="001C6F2F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17E9F" w:rsidRPr="001C6F2F">
          <w:rPr>
            <w:rStyle w:val="Kpr"/>
            <w:rFonts w:ascii="Times New Roman" w:hAnsi="Times New Roman" w:cs="Times New Roman"/>
            <w:sz w:val="24"/>
            <w:szCs w:val="24"/>
          </w:rPr>
          <w:t>Personel Nakil Bildirimi</w:t>
        </w:r>
      </w:hyperlink>
    </w:p>
    <w:p w:rsidR="00C17E9F" w:rsidRPr="00D52A70" w:rsidRDefault="001C6F2F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17E9F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E-içişleri Personel Formu</w:t>
        </w:r>
        <w:r w:rsidR="005E6138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-MV.33.YİM.FR.13</w:t>
        </w:r>
      </w:hyperlink>
    </w:p>
    <w:p w:rsidR="00C17E9F" w:rsidRPr="00D52A70" w:rsidRDefault="001C6F2F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17E9F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Güvenlik Soruşturması ve Arşiv Araştırması Formu</w:t>
        </w:r>
      </w:hyperlink>
      <w:bookmarkStart w:id="0" w:name="_GoBack"/>
      <w:bookmarkEnd w:id="0"/>
    </w:p>
    <w:p w:rsidR="00C17E9F" w:rsidRPr="00D52A70" w:rsidRDefault="00C17E9F" w:rsidP="00572B62">
      <w:pPr>
        <w:pStyle w:val="ListeParagraf"/>
        <w:spacing w:after="0" w:line="240" w:lineRule="auto"/>
        <w:ind w:left="709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17E9F" w:rsidRPr="00D52A70" w:rsidRDefault="00C17E9F" w:rsidP="00572B62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C17E9F" w:rsidRPr="000D484E">
        <w:trPr>
          <w:trHeight w:val="525"/>
        </w:trPr>
        <w:tc>
          <w:tcPr>
            <w:tcW w:w="994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C17E9F" w:rsidRPr="000D484E">
        <w:trPr>
          <w:trHeight w:val="567"/>
        </w:trPr>
        <w:tc>
          <w:tcPr>
            <w:tcW w:w="994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C17E9F" w:rsidRPr="008918E0" w:rsidRDefault="00CE1CB7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01.08.2011</w:t>
            </w:r>
          </w:p>
        </w:tc>
      </w:tr>
      <w:tr w:rsidR="00C17E9F" w:rsidRPr="000D484E">
        <w:trPr>
          <w:trHeight w:val="567"/>
        </w:trPr>
        <w:tc>
          <w:tcPr>
            <w:tcW w:w="994" w:type="dxa"/>
            <w:vAlign w:val="center"/>
          </w:tcPr>
          <w:p w:rsidR="00C17E9F" w:rsidRPr="008918E0" w:rsidRDefault="00587D85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948" w:type="dxa"/>
            <w:vAlign w:val="center"/>
          </w:tcPr>
          <w:p w:rsidR="00C17E9F" w:rsidRPr="008918E0" w:rsidRDefault="00587D85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C17E9F" w:rsidRPr="008918E0" w:rsidRDefault="00EC27BC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Uygulama Bölümüne İçerik Değişikliği</w:t>
            </w:r>
          </w:p>
        </w:tc>
        <w:tc>
          <w:tcPr>
            <w:tcW w:w="1231" w:type="dxa"/>
            <w:vAlign w:val="center"/>
          </w:tcPr>
          <w:p w:rsidR="00C17E9F" w:rsidRPr="008918E0" w:rsidRDefault="00587D85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C17E9F" w:rsidRPr="008918E0" w:rsidRDefault="00EC27BC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="00587D8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.05.2015</w:t>
            </w:r>
          </w:p>
        </w:tc>
      </w:tr>
      <w:tr w:rsidR="006F1C54" w:rsidRPr="000D484E">
        <w:trPr>
          <w:trHeight w:val="567"/>
        </w:trPr>
        <w:tc>
          <w:tcPr>
            <w:tcW w:w="994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7E9F" w:rsidRPr="00D52A70" w:rsidSect="00610FA0">
      <w:headerReference w:type="default" r:id="rId16"/>
      <w:footerReference w:type="default" r:id="rId17"/>
      <w:pgSz w:w="11906" w:h="16838"/>
      <w:pgMar w:top="1417" w:right="1417" w:bottom="1417" w:left="1417" w:header="426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6E" w:rsidRDefault="006F296E" w:rsidP="001D0548">
      <w:pPr>
        <w:spacing w:after="0" w:line="240" w:lineRule="auto"/>
      </w:pPr>
      <w:r>
        <w:separator/>
      </w:r>
    </w:p>
  </w:endnote>
  <w:endnote w:type="continuationSeparator" w:id="0">
    <w:p w:rsidR="006F296E" w:rsidRDefault="006F296E" w:rsidP="001D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002"/>
    </w:tblGrid>
    <w:tr w:rsidR="00AB6262" w:rsidRPr="000D484E">
      <w:tc>
        <w:tcPr>
          <w:tcW w:w="3070" w:type="dxa"/>
        </w:tcPr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070" w:type="dxa"/>
        </w:tcPr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002" w:type="dxa"/>
        </w:tcPr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AB6262" w:rsidRPr="000D484E">
      <w:tc>
        <w:tcPr>
          <w:tcW w:w="3070" w:type="dxa"/>
        </w:tcPr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070" w:type="dxa"/>
        </w:tcPr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002" w:type="dxa"/>
        </w:tcPr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AB6262" w:rsidRPr="000D484E" w:rsidRDefault="00AB6262" w:rsidP="00F613F1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AB6262" w:rsidRDefault="00AB62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6E" w:rsidRDefault="006F296E" w:rsidP="001D0548">
      <w:pPr>
        <w:spacing w:after="0" w:line="240" w:lineRule="auto"/>
      </w:pPr>
      <w:r>
        <w:separator/>
      </w:r>
    </w:p>
  </w:footnote>
  <w:footnote w:type="continuationSeparator" w:id="0">
    <w:p w:rsidR="006F296E" w:rsidRDefault="006F296E" w:rsidP="001D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7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3494"/>
      <w:gridCol w:w="1764"/>
      <w:gridCol w:w="1752"/>
      <w:gridCol w:w="1490"/>
    </w:tblGrid>
    <w:tr w:rsidR="00AB6262" w:rsidRPr="000D484E" w:rsidTr="00610FA0">
      <w:trPr>
        <w:cantSplit/>
        <w:trHeight w:val="622"/>
      </w:trPr>
      <w:tc>
        <w:tcPr>
          <w:tcW w:w="1617" w:type="dxa"/>
          <w:vMerge w:val="restart"/>
          <w:vAlign w:val="center"/>
        </w:tcPr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803B6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</w:tcPr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B6262" w:rsidRPr="000D484E" w:rsidRDefault="00AB6262" w:rsidP="00EE32B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AB6262" w:rsidRPr="000D484E" w:rsidRDefault="00AB6262" w:rsidP="00EE32B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19" w:type="dxa"/>
        </w:tcPr>
        <w:p w:rsidR="00AB6262" w:rsidRPr="000D484E" w:rsidRDefault="00AB6262" w:rsidP="001803B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24</w:t>
          </w:r>
        </w:p>
      </w:tc>
      <w:tc>
        <w:tcPr>
          <w:tcW w:w="1478" w:type="dxa"/>
          <w:vMerge w:val="restart"/>
        </w:tcPr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803B6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89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 w:val="restart"/>
          <w:vAlign w:val="center"/>
        </w:tcPr>
        <w:p w:rsidR="00AB6262" w:rsidRPr="000D484E" w:rsidRDefault="00AB6262" w:rsidP="00F613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Naklen Atama Talimatı</w:t>
          </w:r>
        </w:p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19" w:type="dxa"/>
        </w:tcPr>
        <w:p w:rsidR="00AB6262" w:rsidRPr="000D484E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78" w:type="dxa"/>
          <w:vMerge/>
        </w:tcPr>
        <w:p w:rsidR="00AB6262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19" w:type="dxa"/>
        </w:tcPr>
        <w:p w:rsidR="00AB6262" w:rsidRPr="000D484E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78" w:type="dxa"/>
          <w:vMerge/>
        </w:tcPr>
        <w:p w:rsidR="00AB6262" w:rsidRPr="000D484E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19" w:type="dxa"/>
        </w:tcPr>
        <w:p w:rsidR="00AB6262" w:rsidRPr="000D484E" w:rsidRDefault="00AB6262" w:rsidP="00AB626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14.05.2015</w:t>
          </w:r>
        </w:p>
      </w:tc>
      <w:tc>
        <w:tcPr>
          <w:tcW w:w="1478" w:type="dxa"/>
          <w:vMerge/>
        </w:tcPr>
        <w:p w:rsidR="00AB6262" w:rsidRPr="000D484E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19" w:type="dxa"/>
        </w:tcPr>
        <w:p w:rsidR="00AB6262" w:rsidRPr="000D484E" w:rsidRDefault="00017F54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AB6262" w:rsidRPr="000D484E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PAGE </w:instrTex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1C6F2F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3</w: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  <w:r w:rsidR="00AB6262" w:rsidRPr="000D484E">
            <w:rPr>
              <w:rFonts w:ascii="Times New Roman" w:hAnsi="Times New Roman" w:cs="Times New Roman"/>
              <w:b/>
              <w:bCs/>
            </w:rPr>
            <w:t>/</w: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AB6262" w:rsidRPr="000D484E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NUMPAGES </w:instrTex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1C6F2F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3</w: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</w:p>
      </w:tc>
      <w:tc>
        <w:tcPr>
          <w:tcW w:w="1478" w:type="dxa"/>
          <w:vMerge/>
        </w:tcPr>
        <w:p w:rsidR="00AB6262" w:rsidRPr="000D484E" w:rsidRDefault="00AB6262" w:rsidP="00AA52BA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</w:rPr>
          </w:pPr>
        </w:p>
      </w:tc>
    </w:tr>
  </w:tbl>
  <w:p w:rsidR="00AB6262" w:rsidRDefault="00AB62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847"/>
    <w:multiLevelType w:val="multilevel"/>
    <w:tmpl w:val="84C4C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533E9"/>
    <w:multiLevelType w:val="multilevel"/>
    <w:tmpl w:val="1032C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2411F9"/>
    <w:multiLevelType w:val="hybridMultilevel"/>
    <w:tmpl w:val="80A0D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13F64"/>
    <w:multiLevelType w:val="hybridMultilevel"/>
    <w:tmpl w:val="52389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64B2C"/>
    <w:multiLevelType w:val="hybridMultilevel"/>
    <w:tmpl w:val="39886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555A56"/>
    <w:multiLevelType w:val="hybridMultilevel"/>
    <w:tmpl w:val="503A4968"/>
    <w:lvl w:ilvl="0" w:tplc="997CC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6C2518"/>
    <w:multiLevelType w:val="hybridMultilevel"/>
    <w:tmpl w:val="657EEB6A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DFB07D7"/>
    <w:multiLevelType w:val="multilevel"/>
    <w:tmpl w:val="1400C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5C62C8"/>
    <w:multiLevelType w:val="hybridMultilevel"/>
    <w:tmpl w:val="98800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946"/>
    <w:multiLevelType w:val="hybridMultilevel"/>
    <w:tmpl w:val="1D2A3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FB3ECD"/>
    <w:multiLevelType w:val="multilevel"/>
    <w:tmpl w:val="84C4C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045B94"/>
    <w:multiLevelType w:val="hybridMultilevel"/>
    <w:tmpl w:val="2FA8B0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4C046BAE"/>
    <w:multiLevelType w:val="hybridMultilevel"/>
    <w:tmpl w:val="789C8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594D3A"/>
    <w:multiLevelType w:val="multilevel"/>
    <w:tmpl w:val="5FC6B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354991"/>
    <w:multiLevelType w:val="multilevel"/>
    <w:tmpl w:val="891EB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BE4C3D"/>
    <w:multiLevelType w:val="hybridMultilevel"/>
    <w:tmpl w:val="D232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797062"/>
    <w:multiLevelType w:val="hybridMultilevel"/>
    <w:tmpl w:val="80EC758E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01A1F"/>
    <w:multiLevelType w:val="multilevel"/>
    <w:tmpl w:val="79E82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E86126"/>
    <w:multiLevelType w:val="multilevel"/>
    <w:tmpl w:val="5FC6B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06C20C2"/>
    <w:multiLevelType w:val="hybridMultilevel"/>
    <w:tmpl w:val="E4681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8435C9"/>
    <w:multiLevelType w:val="multilevel"/>
    <w:tmpl w:val="0F989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221242"/>
    <w:multiLevelType w:val="hybridMultilevel"/>
    <w:tmpl w:val="547A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F2641"/>
    <w:multiLevelType w:val="hybridMultilevel"/>
    <w:tmpl w:val="7A0C827E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2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18"/>
  </w:num>
  <w:num w:numId="10">
    <w:abstractNumId w:val="13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12"/>
  </w:num>
  <w:num w:numId="16">
    <w:abstractNumId w:val="5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48"/>
    <w:rsid w:val="00017F54"/>
    <w:rsid w:val="00041CB2"/>
    <w:rsid w:val="00085C0E"/>
    <w:rsid w:val="000B046B"/>
    <w:rsid w:val="000D484E"/>
    <w:rsid w:val="000D7EE6"/>
    <w:rsid w:val="00110C50"/>
    <w:rsid w:val="0012020F"/>
    <w:rsid w:val="00133DE0"/>
    <w:rsid w:val="00135758"/>
    <w:rsid w:val="00145DAE"/>
    <w:rsid w:val="0016601C"/>
    <w:rsid w:val="00176944"/>
    <w:rsid w:val="001803B6"/>
    <w:rsid w:val="001901D6"/>
    <w:rsid w:val="001B0009"/>
    <w:rsid w:val="001C6F2F"/>
    <w:rsid w:val="001D0548"/>
    <w:rsid w:val="001F2C37"/>
    <w:rsid w:val="00221C8D"/>
    <w:rsid w:val="00226B67"/>
    <w:rsid w:val="0027018B"/>
    <w:rsid w:val="002757C9"/>
    <w:rsid w:val="00295603"/>
    <w:rsid w:val="002D1653"/>
    <w:rsid w:val="002E06CF"/>
    <w:rsid w:val="00324182"/>
    <w:rsid w:val="00326226"/>
    <w:rsid w:val="0034018F"/>
    <w:rsid w:val="0038316D"/>
    <w:rsid w:val="003A0332"/>
    <w:rsid w:val="003B16DD"/>
    <w:rsid w:val="003C65B6"/>
    <w:rsid w:val="003D502B"/>
    <w:rsid w:val="00403F67"/>
    <w:rsid w:val="00420F30"/>
    <w:rsid w:val="00420F49"/>
    <w:rsid w:val="00437183"/>
    <w:rsid w:val="004825FF"/>
    <w:rsid w:val="004860CE"/>
    <w:rsid w:val="004942D2"/>
    <w:rsid w:val="00497B7D"/>
    <w:rsid w:val="004C06C2"/>
    <w:rsid w:val="004C60B2"/>
    <w:rsid w:val="004E3557"/>
    <w:rsid w:val="00544295"/>
    <w:rsid w:val="00572B62"/>
    <w:rsid w:val="0058228F"/>
    <w:rsid w:val="00587D85"/>
    <w:rsid w:val="005E6138"/>
    <w:rsid w:val="00610FA0"/>
    <w:rsid w:val="00632DB6"/>
    <w:rsid w:val="006354B9"/>
    <w:rsid w:val="006400DA"/>
    <w:rsid w:val="00641799"/>
    <w:rsid w:val="00655453"/>
    <w:rsid w:val="006932C6"/>
    <w:rsid w:val="00695ED8"/>
    <w:rsid w:val="006A1EFF"/>
    <w:rsid w:val="006C6F3F"/>
    <w:rsid w:val="006F1C54"/>
    <w:rsid w:val="006F296E"/>
    <w:rsid w:val="006F2E93"/>
    <w:rsid w:val="007103D8"/>
    <w:rsid w:val="00710BEA"/>
    <w:rsid w:val="007210B3"/>
    <w:rsid w:val="00732AC2"/>
    <w:rsid w:val="00741964"/>
    <w:rsid w:val="00757BE6"/>
    <w:rsid w:val="007E0F3A"/>
    <w:rsid w:val="0080111E"/>
    <w:rsid w:val="008357DC"/>
    <w:rsid w:val="00845262"/>
    <w:rsid w:val="00873B15"/>
    <w:rsid w:val="008748FC"/>
    <w:rsid w:val="008918E0"/>
    <w:rsid w:val="008B3C4F"/>
    <w:rsid w:val="008E4242"/>
    <w:rsid w:val="008E696A"/>
    <w:rsid w:val="008F4E61"/>
    <w:rsid w:val="008F614F"/>
    <w:rsid w:val="0091409D"/>
    <w:rsid w:val="00914F58"/>
    <w:rsid w:val="009245EE"/>
    <w:rsid w:val="00943D12"/>
    <w:rsid w:val="00945A2C"/>
    <w:rsid w:val="0096318E"/>
    <w:rsid w:val="00963F10"/>
    <w:rsid w:val="00964322"/>
    <w:rsid w:val="009866D0"/>
    <w:rsid w:val="009D1149"/>
    <w:rsid w:val="009D4D7C"/>
    <w:rsid w:val="009F28A7"/>
    <w:rsid w:val="00A03EE0"/>
    <w:rsid w:val="00A32E76"/>
    <w:rsid w:val="00A638C3"/>
    <w:rsid w:val="00A86FB9"/>
    <w:rsid w:val="00A972D2"/>
    <w:rsid w:val="00AA277C"/>
    <w:rsid w:val="00AA52BA"/>
    <w:rsid w:val="00AB1825"/>
    <w:rsid w:val="00AB6262"/>
    <w:rsid w:val="00AC0612"/>
    <w:rsid w:val="00B0154C"/>
    <w:rsid w:val="00B90ED2"/>
    <w:rsid w:val="00BA5C14"/>
    <w:rsid w:val="00BC0422"/>
    <w:rsid w:val="00C01D34"/>
    <w:rsid w:val="00C17E9F"/>
    <w:rsid w:val="00C30CCD"/>
    <w:rsid w:val="00C50E27"/>
    <w:rsid w:val="00C66239"/>
    <w:rsid w:val="00CC29C5"/>
    <w:rsid w:val="00CE1181"/>
    <w:rsid w:val="00CE1CB7"/>
    <w:rsid w:val="00D471C0"/>
    <w:rsid w:val="00D52A70"/>
    <w:rsid w:val="00D6428D"/>
    <w:rsid w:val="00D70C6B"/>
    <w:rsid w:val="00D84F51"/>
    <w:rsid w:val="00DE0D9F"/>
    <w:rsid w:val="00DF796A"/>
    <w:rsid w:val="00E67947"/>
    <w:rsid w:val="00E976A2"/>
    <w:rsid w:val="00EC27BC"/>
    <w:rsid w:val="00EC6CA7"/>
    <w:rsid w:val="00ED4638"/>
    <w:rsid w:val="00EE32B5"/>
    <w:rsid w:val="00F369A6"/>
    <w:rsid w:val="00F613F1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48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D0548"/>
    <w:pPr>
      <w:ind w:left="720"/>
    </w:pPr>
  </w:style>
  <w:style w:type="paragraph" w:styleId="stbilgi">
    <w:name w:val="header"/>
    <w:basedOn w:val="Normal"/>
    <w:link w:val="stbilgiChar"/>
    <w:uiPriority w:val="99"/>
    <w:rsid w:val="001D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1D0548"/>
  </w:style>
  <w:style w:type="paragraph" w:styleId="Altbilgi">
    <w:name w:val="footer"/>
    <w:basedOn w:val="Normal"/>
    <w:link w:val="AltbilgiChar"/>
    <w:uiPriority w:val="99"/>
    <w:rsid w:val="001D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D0548"/>
  </w:style>
  <w:style w:type="paragraph" w:styleId="BalonMetni">
    <w:name w:val="Balloon Text"/>
    <w:basedOn w:val="Normal"/>
    <w:link w:val="BalonMetniChar"/>
    <w:uiPriority w:val="99"/>
    <w:semiHidden/>
    <w:rsid w:val="001D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D05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4942D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4942D2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0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48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D0548"/>
    <w:pPr>
      <w:ind w:left="720"/>
    </w:pPr>
  </w:style>
  <w:style w:type="paragraph" w:styleId="stbilgi">
    <w:name w:val="header"/>
    <w:basedOn w:val="Normal"/>
    <w:link w:val="stbilgiChar"/>
    <w:uiPriority w:val="99"/>
    <w:rsid w:val="001D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1D0548"/>
  </w:style>
  <w:style w:type="paragraph" w:styleId="Altbilgi">
    <w:name w:val="footer"/>
    <w:basedOn w:val="Normal"/>
    <w:link w:val="AltbilgiChar"/>
    <w:uiPriority w:val="99"/>
    <w:rsid w:val="001D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D0548"/>
  </w:style>
  <w:style w:type="paragraph" w:styleId="BalonMetni">
    <w:name w:val="Balloon Text"/>
    <w:basedOn w:val="Normal"/>
    <w:link w:val="BalonMetniChar"/>
    <w:uiPriority w:val="99"/>
    <w:semiHidden/>
    <w:rsid w:val="001D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D05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4942D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4942D2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0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Yaz&#305;%20&#304;&#351;leri%20M&#252;d&#252;rl&#252;&#287;&#252;%20&#304;&#231;%20Kaynakl&#305;%20Formlar/fr-08-tayin_talepleri_formu.xls" TargetMode="External"/><Relationship Id="rId13" Type="http://schemas.openxmlformats.org/officeDocument/2006/relationships/hyperlink" Target="../Yaz&#305;%20&#304;&#351;leri%20M&#252;d&#252;rl&#252;&#287;&#252;%20D&#305;&#351;%20Kaynakl&#305;%20Formlar/personel_nakil_bildirimi.xls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Yaz&#305;%20&#304;&#351;leri%20M&#252;d&#252;rl&#252;&#287;&#252;%20D&#305;&#351;%20Kaynakl&#305;%20Formlar/personel-kadro_kayit_karti.xls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Yaz&#305;%20&#304;&#351;leri%20M&#252;d&#252;rl&#252;&#287;&#252;%20D&#305;&#351;%20Kaynakl&#305;%20Formlar/personel_hareketleri_onay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Yaz&#305;%20&#304;&#351;leri%20M&#252;d&#252;rl&#252;&#287;&#252;%20D&#305;&#351;%20Kaynakl&#305;%20Formlar/guvenlik_sorusturmasi_formu.doc" TargetMode="External"/><Relationship Id="rId10" Type="http://schemas.openxmlformats.org/officeDocument/2006/relationships/hyperlink" Target="../Yaz&#305;%20&#304;&#351;leri%20M&#252;d&#252;rl&#252;&#287;&#252;%20D&#305;&#351;%20Kaynakl&#305;%20Formlar/kurumlar_arasi_naklen_atama_formu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Yaz&#305;%20&#304;&#351;leri%20M&#252;d&#252;rl&#252;&#287;&#252;%20D&#305;&#351;%20Kaynakl&#305;%20Formlar/hizmet_belgesi.xls" TargetMode="External"/><Relationship Id="rId14" Type="http://schemas.openxmlformats.org/officeDocument/2006/relationships/hyperlink" Target="../Yaz&#305;%20&#304;&#351;leri%20M&#252;d&#252;rl&#252;&#287;&#252;%20&#304;&#231;%20Kaynakl&#305;%20Formlar/fr-13-e_icisleri_personel_formu.x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Ayse Bozkırlı</cp:lastModifiedBy>
  <cp:revision>15</cp:revision>
  <cp:lastPrinted>2015-05-14T12:42:00Z</cp:lastPrinted>
  <dcterms:created xsi:type="dcterms:W3CDTF">2014-06-16T10:41:00Z</dcterms:created>
  <dcterms:modified xsi:type="dcterms:W3CDTF">2015-05-18T12:06:00Z</dcterms:modified>
</cp:coreProperties>
</file>